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22221" w14:textId="77777777" w:rsidR="008B4430" w:rsidRDefault="008E3E9D" w:rsidP="00BF1DE3">
      <w:pPr>
        <w:pStyle w:val="Heading1"/>
      </w:pPr>
      <w:r>
        <w:t>Electronic Supplementary Material Legends</w:t>
      </w:r>
    </w:p>
    <w:p w14:paraId="71122222" w14:textId="77777777" w:rsidR="008B4430" w:rsidRDefault="008B4430"/>
    <w:p w14:paraId="6D727E63" w14:textId="7D0A9CB1" w:rsidR="00A13C20" w:rsidRDefault="00A13C20" w:rsidP="00BF1DE3">
      <w:pPr>
        <w:pStyle w:val="Heading2"/>
      </w:pPr>
      <w:r>
        <w:t>Online Resource 1</w:t>
      </w:r>
    </w:p>
    <w:p w14:paraId="398D76E4" w14:textId="503855E4" w:rsidR="00A13C20" w:rsidRPr="00A13C20" w:rsidRDefault="008E3E9D" w:rsidP="00A13C20">
      <w:r w:rsidRPr="008E3E9D">
        <w:rPr>
          <w:b/>
          <w:bCs/>
        </w:rPr>
        <w:t>Composition and experimental design of the CMPP Validation Panel (CMPPV) and the Magal Reciprocal Validation Panel (MRVP).</w:t>
      </w:r>
      <w:r w:rsidRPr="008E3E9D">
        <w:t xml:space="preserve"> Each panel is defined by the populations tested, reciprocal parental combinations, generation type and segregation status, sample sizes in </w:t>
      </w:r>
      <w:proofErr w:type="spellStart"/>
      <w:r w:rsidRPr="008E3E9D">
        <w:t>Mibhor</w:t>
      </w:r>
      <w:proofErr w:type="spellEnd"/>
      <w:r w:rsidRPr="008E3E9D">
        <w:t xml:space="preserve"> (M) and </w:t>
      </w:r>
      <w:proofErr w:type="spellStart"/>
      <w:r w:rsidRPr="008E3E9D">
        <w:t>Yotveta</w:t>
      </w:r>
      <w:proofErr w:type="spellEnd"/>
      <w:r w:rsidRPr="008E3E9D">
        <w:t xml:space="preserve"> (Y), environments and experimental designs, plot structure and harvest unit, and recorded field traits (GA, Grain Area; GL, Grain Length; GW, Grain Width; GPS, Grains per Spike; LWR, Length-Width Ratio; TGW, Thousand Grain Weight; BM, Biomass; GWP, Grain Weight per Plant; GPP, Grains per Plant. For both panels, trials were planted side-by-side in 2023 and harvested in 2024.</w:t>
      </w:r>
    </w:p>
    <w:p w14:paraId="27E7DF23" w14:textId="6DF87736" w:rsidR="00BD46B3" w:rsidRDefault="00BD46B3" w:rsidP="00BF1DE3">
      <w:pPr>
        <w:pStyle w:val="Heading2"/>
      </w:pPr>
      <w:r>
        <w:t>Online Resource 2</w:t>
      </w:r>
    </w:p>
    <w:p w14:paraId="03C5617B" w14:textId="57DF7101" w:rsidR="00BD46B3" w:rsidRPr="00C25477" w:rsidRDefault="00892451" w:rsidP="00E54784">
      <w:pPr>
        <w:rPr>
          <w:b/>
          <w:bCs/>
        </w:rPr>
      </w:pPr>
      <w:r w:rsidRPr="00C25477">
        <w:rPr>
          <w:b/>
          <w:bCs/>
        </w:rPr>
        <w:t xml:space="preserve">Comparison </w:t>
      </w:r>
      <w:r w:rsidR="00835388" w:rsidRPr="00C25477">
        <w:rPr>
          <w:b/>
          <w:bCs/>
        </w:rPr>
        <w:t xml:space="preserve">of grain </w:t>
      </w:r>
      <w:r w:rsidR="00CD20C7" w:rsidRPr="00C25477">
        <w:rPr>
          <w:b/>
          <w:bCs/>
        </w:rPr>
        <w:t>dimension</w:t>
      </w:r>
      <w:r w:rsidR="00E54784" w:rsidRPr="00C25477">
        <w:rPr>
          <w:b/>
          <w:bCs/>
        </w:rPr>
        <w:t>s for manually calculated, vs.</w:t>
      </w:r>
      <w:r w:rsidR="00C04F99" w:rsidRPr="00C25477">
        <w:rPr>
          <w:b/>
          <w:bCs/>
        </w:rPr>
        <w:t xml:space="preserve"> </w:t>
      </w:r>
      <w:r w:rsidRPr="00C25477">
        <w:rPr>
          <w:b/>
          <w:bCs/>
        </w:rPr>
        <w:t xml:space="preserve">auto-calculated </w:t>
      </w:r>
      <w:r w:rsidR="00E54784" w:rsidRPr="00C25477">
        <w:rPr>
          <w:b/>
          <w:bCs/>
        </w:rPr>
        <w:t xml:space="preserve">values </w:t>
      </w:r>
      <w:r w:rsidR="00C25477" w:rsidRPr="00C25477">
        <w:rPr>
          <w:b/>
          <w:bCs/>
        </w:rPr>
        <w:t>using</w:t>
      </w:r>
      <w:r w:rsidR="00300324" w:rsidRPr="00C25477">
        <w:rPr>
          <w:b/>
          <w:bCs/>
        </w:rPr>
        <w:t xml:space="preserve"> the Marvin 6 software.</w:t>
      </w:r>
    </w:p>
    <w:p w14:paraId="71122223" w14:textId="05680CF2" w:rsidR="008B4430" w:rsidRDefault="008E3E9D" w:rsidP="00BF1DE3">
      <w:pPr>
        <w:pStyle w:val="Heading2"/>
      </w:pPr>
      <w:r>
        <w:t>Online Resource 3</w:t>
      </w:r>
    </w:p>
    <w:p w14:paraId="71122224" w14:textId="77777777" w:rsidR="008B4430" w:rsidRDefault="008E3E9D">
      <w:r>
        <w:rPr>
          <w:b/>
        </w:rPr>
        <w:t>Raw phenotypic data for the CMPP Validation Panel (CMPPV).</w:t>
      </w:r>
      <w:r>
        <w:t xml:space="preserve"> Variables represent panel identifier, population label, line identifier, environment, cytoplasm descriptors, and recorded phenotypes.</w:t>
      </w:r>
    </w:p>
    <w:p w14:paraId="71122225" w14:textId="77777777" w:rsidR="008B4430" w:rsidRDefault="008E3E9D" w:rsidP="00BF1DE3">
      <w:pPr>
        <w:pStyle w:val="Heading2"/>
      </w:pPr>
      <w:r>
        <w:t>Online Resource 4</w:t>
      </w:r>
    </w:p>
    <w:p w14:paraId="71122226" w14:textId="77777777" w:rsidR="008B4430" w:rsidRDefault="008E3E9D">
      <w:r>
        <w:rPr>
          <w:b/>
        </w:rPr>
        <w:t>Raw phenotypic data for the Magal Reciprocal Validation Panel (MRVP).</w:t>
      </w:r>
      <w:r>
        <w:t xml:space="preserve"> Variables represent panel identifier, population label, environment, plant identifier, cross designation, and recorded and derived phenotypes.</w:t>
      </w:r>
    </w:p>
    <w:p w14:paraId="71122227" w14:textId="77777777" w:rsidR="008B4430" w:rsidRDefault="008E3E9D" w:rsidP="00BF1DE3">
      <w:pPr>
        <w:pStyle w:val="Heading2"/>
      </w:pPr>
      <w:r>
        <w:t>Online Resource 5</w:t>
      </w:r>
    </w:p>
    <w:p w14:paraId="1E457E40" w14:textId="6FA7839C" w:rsidR="000341A8" w:rsidRPr="00DC7361" w:rsidRDefault="000341A8" w:rsidP="000341A8">
      <w:pPr>
        <w:rPr>
          <w:b/>
          <w:bCs/>
        </w:rPr>
      </w:pPr>
      <w:r w:rsidRPr="00DC7361">
        <w:rPr>
          <w:b/>
          <w:bCs/>
        </w:rPr>
        <w:t xml:space="preserve">Schematic overview of </w:t>
      </w:r>
      <w:r w:rsidR="00DC7361" w:rsidRPr="00DC7361">
        <w:rPr>
          <w:b/>
          <w:bCs/>
        </w:rPr>
        <w:t xml:space="preserve">the </w:t>
      </w:r>
      <w:proofErr w:type="spellStart"/>
      <w:r w:rsidR="00DC7361" w:rsidRPr="00DC7361">
        <w:rPr>
          <w:b/>
          <w:bCs/>
        </w:rPr>
        <w:t>PlantScreen</w:t>
      </w:r>
      <w:proofErr w:type="spellEnd"/>
      <w:r w:rsidR="00DC7361" w:rsidRPr="00DC7361">
        <w:rPr>
          <w:b/>
          <w:bCs/>
        </w:rPr>
        <w:t xml:space="preserve"> </w:t>
      </w:r>
      <w:proofErr w:type="spellStart"/>
      <w:r w:rsidR="00DC7361" w:rsidRPr="00DC7361">
        <w:rPr>
          <w:b/>
          <w:bCs/>
        </w:rPr>
        <w:t>phenomic</w:t>
      </w:r>
      <w:proofErr w:type="spellEnd"/>
      <w:r w:rsidR="00DC7361" w:rsidRPr="00DC7361">
        <w:rPr>
          <w:b/>
          <w:bCs/>
        </w:rPr>
        <w:t xml:space="preserve"> workflow.</w:t>
      </w:r>
    </w:p>
    <w:p w14:paraId="71122229" w14:textId="77777777" w:rsidR="008B4430" w:rsidRDefault="008E3E9D" w:rsidP="00BF1DE3">
      <w:pPr>
        <w:pStyle w:val="Heading2"/>
      </w:pPr>
      <w:r>
        <w:t>Online Resource 6</w:t>
      </w:r>
    </w:p>
    <w:p w14:paraId="7112222A" w14:textId="08A6459E" w:rsidR="008B4430" w:rsidRPr="00877161" w:rsidRDefault="008E3E9D">
      <w:pPr>
        <w:rPr>
          <w:bCs/>
        </w:rPr>
      </w:pPr>
      <w:r>
        <w:rPr>
          <w:b/>
        </w:rPr>
        <w:t>Distribution of Global and Neighborhood H values for MRVP grain samples</w:t>
      </w:r>
      <w:r w:rsidR="00877161" w:rsidRPr="00877161">
        <w:rPr>
          <w:bCs/>
        </w:rPr>
        <w:t>. S</w:t>
      </w:r>
      <w:r w:rsidRPr="00877161">
        <w:rPr>
          <w:bCs/>
        </w:rPr>
        <w:t xml:space="preserve">canned with &lt;25 g </w:t>
      </w:r>
      <w:r w:rsidR="00877161" w:rsidRPr="00877161">
        <w:rPr>
          <w:bCs/>
        </w:rPr>
        <w:t xml:space="preserve">(a) </w:t>
      </w:r>
      <w:r w:rsidRPr="00877161">
        <w:rPr>
          <w:bCs/>
        </w:rPr>
        <w:t>and with &gt;=25 g of sample mass</w:t>
      </w:r>
      <w:r w:rsidR="00877161" w:rsidRPr="00877161">
        <w:rPr>
          <w:bCs/>
        </w:rPr>
        <w:t xml:space="preserve"> (b)</w:t>
      </w:r>
      <w:r w:rsidRPr="00877161">
        <w:rPr>
          <w:bCs/>
        </w:rPr>
        <w:t>.</w:t>
      </w:r>
    </w:p>
    <w:p w14:paraId="7112222B" w14:textId="77777777" w:rsidR="008B4430" w:rsidRDefault="008E3E9D" w:rsidP="00BF1DE3">
      <w:pPr>
        <w:pStyle w:val="Heading2"/>
      </w:pPr>
      <w:r>
        <w:t>Online Resource 7</w:t>
      </w:r>
    </w:p>
    <w:p w14:paraId="7112222C" w14:textId="37DED50C" w:rsidR="008B4430" w:rsidRPr="0014354F" w:rsidRDefault="008E3E9D">
      <w:r>
        <w:rPr>
          <w:b/>
        </w:rPr>
        <w:t xml:space="preserve">Comparison of prediction performance </w:t>
      </w:r>
      <w:r w:rsidR="0014354F">
        <w:rPr>
          <w:b/>
        </w:rPr>
        <w:t>(R</w:t>
      </w:r>
      <w:r w:rsidR="0014354F" w:rsidRPr="0014354F">
        <w:rPr>
          <w:b/>
          <w:vertAlign w:val="superscript"/>
        </w:rPr>
        <w:t>2</w:t>
      </w:r>
      <w:r w:rsidR="0014354F">
        <w:rPr>
          <w:b/>
        </w:rPr>
        <w:t xml:space="preserve">) </w:t>
      </w:r>
      <w:r>
        <w:rPr>
          <w:b/>
        </w:rPr>
        <w:t>against wet-chemistry reference values for the final custom NIRS calibration</w:t>
      </w:r>
      <w:r w:rsidR="003F5C4E">
        <w:rPr>
          <w:b/>
        </w:rPr>
        <w:t xml:space="preserve">. </w:t>
      </w:r>
      <w:r w:rsidR="003F5C4E" w:rsidRPr="0014354F">
        <w:t>(</w:t>
      </w:r>
      <w:r w:rsidR="00CC0365" w:rsidRPr="0014354F">
        <w:t xml:space="preserve">a) Correlation with manufacturer </w:t>
      </w:r>
      <w:r w:rsidR="00E07BBF" w:rsidRPr="0014354F">
        <w:t>calibration</w:t>
      </w:r>
      <w:r w:rsidR="00CC0365" w:rsidRPr="0014354F">
        <w:t xml:space="preserve">, (b) </w:t>
      </w:r>
      <w:r w:rsidR="00E07BBF" w:rsidRPr="0014354F">
        <w:t>correlation with custom calibration</w:t>
      </w:r>
      <w:r w:rsidRPr="0014354F">
        <w:t xml:space="preserve"> and the pre-existing Cereals/Grains manufacturer calibration, reported as coefficient of determination.</w:t>
      </w:r>
    </w:p>
    <w:p w14:paraId="7112222D" w14:textId="77777777" w:rsidR="008B4430" w:rsidRDefault="008E3E9D" w:rsidP="00BF1DE3">
      <w:pPr>
        <w:pStyle w:val="Heading2"/>
      </w:pPr>
      <w:r>
        <w:t>Online Resource 8</w:t>
      </w:r>
    </w:p>
    <w:p w14:paraId="7112222E" w14:textId="77777777" w:rsidR="008B4430" w:rsidRDefault="008E3E9D">
      <w:proofErr w:type="gramStart"/>
      <w:r>
        <w:rPr>
          <w:b/>
        </w:rPr>
        <w:t>Eta</w:t>
      </w:r>
      <w:proofErr w:type="gramEnd"/>
      <w:r>
        <w:rPr>
          <w:b/>
        </w:rPr>
        <w:t xml:space="preserve"> squared effect sizes from cytonuclear interaction analysis.</w:t>
      </w:r>
      <w:r>
        <w:t xml:space="preserve"> ANOVA results for all population-trait combinations from CMPPV and MRVP panels. Variables represent panel, phenotype descriptors, measurement unit, model term label, p-value, eta squared (η²), and 95% confidence interval bounds.</w:t>
      </w:r>
    </w:p>
    <w:p w14:paraId="7112222F" w14:textId="77777777" w:rsidR="008B4430" w:rsidRDefault="008E3E9D" w:rsidP="00BF1DE3">
      <w:pPr>
        <w:pStyle w:val="Heading2"/>
      </w:pPr>
      <w:r>
        <w:t>Online Resource 9</w:t>
      </w:r>
    </w:p>
    <w:p w14:paraId="71122230" w14:textId="3B2EC9B4" w:rsidR="008B4430" w:rsidRDefault="008E3E9D">
      <w:r>
        <w:rPr>
          <w:b/>
        </w:rPr>
        <w:t xml:space="preserve">Summary of divergence statistics for </w:t>
      </w:r>
      <w:proofErr w:type="spellStart"/>
      <w:r>
        <w:rPr>
          <w:b/>
        </w:rPr>
        <w:t>phenomic</w:t>
      </w:r>
      <w:proofErr w:type="spellEnd"/>
      <w:r>
        <w:rPr>
          <w:b/>
        </w:rPr>
        <w:t xml:space="preserve"> comparison between CMP29 and CMP50.</w:t>
      </w:r>
      <w:r>
        <w:t xml:space="preserve"> Variables represent trait name, mean Cohen's d for CMP29, mean Cohen's d for CMP50, weighted Cohen's d for </w:t>
      </w:r>
      <w:r w:rsidR="001B59A6">
        <w:t>CMP29</w:t>
      </w:r>
      <w:r>
        <w:t xml:space="preserve">, </w:t>
      </w:r>
      <w:r w:rsidR="001B59A6">
        <w:t xml:space="preserve">weighted Cohen's d for CMP50, </w:t>
      </w:r>
      <w:r>
        <w:t xml:space="preserve">number of significant measurement days </w:t>
      </w:r>
      <w:r>
        <w:lastRenderedPageBreak/>
        <w:t>per population, divergence, effect direction, phenomics modality classification, and significance flag.</w:t>
      </w:r>
    </w:p>
    <w:p w14:paraId="71122231" w14:textId="77777777" w:rsidR="008B4430" w:rsidRDefault="008E3E9D" w:rsidP="00BF1DE3">
      <w:pPr>
        <w:pStyle w:val="Heading2"/>
      </w:pPr>
      <w:r>
        <w:t>Online Resource 10</w:t>
      </w:r>
    </w:p>
    <w:p w14:paraId="71122232" w14:textId="77777777" w:rsidR="008B4430" w:rsidRDefault="008E3E9D">
      <w:r>
        <w:rPr>
          <w:b/>
        </w:rPr>
        <w:t>Trait divergence threshold.</w:t>
      </w:r>
      <w:r>
        <w:t xml:space="preserve"> Strip plot showing the absolute difference in weighted Cohen's d effect sizes between CMP50 and CMP29 for 66 </w:t>
      </w:r>
      <w:proofErr w:type="spellStart"/>
      <w:r>
        <w:t>PlantScreen</w:t>
      </w:r>
      <w:proofErr w:type="spellEnd"/>
      <w:r>
        <w:t xml:space="preserve"> phenomics traits. Dashed red line indicates the 90th percentile threshold used to classify traits as significantly divergent between the two populations.</w:t>
      </w:r>
    </w:p>
    <w:p w14:paraId="71122233" w14:textId="77777777" w:rsidR="008B4430" w:rsidRDefault="008E3E9D" w:rsidP="00BF1DE3">
      <w:pPr>
        <w:pStyle w:val="Heading2"/>
      </w:pPr>
      <w:r>
        <w:t>Online Resource 11</w:t>
      </w:r>
    </w:p>
    <w:p w14:paraId="71122234" w14:textId="77777777" w:rsidR="008B4430" w:rsidRDefault="008E3E9D">
      <w:r>
        <w:rPr>
          <w:b/>
        </w:rPr>
        <w:t>KASP marker map for MRVP genotyping.</w:t>
      </w:r>
      <w:r>
        <w:t xml:space="preserve"> Genomic positions of 35 </w:t>
      </w:r>
      <w:proofErr w:type="spellStart"/>
      <w:r>
        <w:t>Kompetitive</w:t>
      </w:r>
      <w:proofErr w:type="spellEnd"/>
      <w:r>
        <w:t xml:space="preserve"> Allele Specific PCR (KASP) markers used to genotype the Magal Reciprocal Validation Panel. Positions refer to MorexV3.</w:t>
      </w:r>
    </w:p>
    <w:p w14:paraId="71122235" w14:textId="77777777" w:rsidR="008B4430" w:rsidRDefault="008E3E9D" w:rsidP="00BF1DE3">
      <w:pPr>
        <w:pStyle w:val="Heading2"/>
      </w:pPr>
      <w:r>
        <w:t>Online Resource 12</w:t>
      </w:r>
    </w:p>
    <w:p w14:paraId="71122236" w14:textId="77777777" w:rsidR="008B4430" w:rsidRDefault="008E3E9D">
      <w:proofErr w:type="gramStart"/>
      <w:r>
        <w:rPr>
          <w:b/>
        </w:rPr>
        <w:t>Eta</w:t>
      </w:r>
      <w:proofErr w:type="gramEnd"/>
      <w:r>
        <w:rPr>
          <w:b/>
        </w:rPr>
        <w:t xml:space="preserve"> squared effect sizes from G × C × E analysis.</w:t>
      </w:r>
      <w:r>
        <w:t xml:space="preserve"> Variables represent panel, population label, phenotype code and abbreviation, official trait name, unit, marker identifier, chromosome identifiers, physical position, term, sample size, p-value, lower 95% CI bound, and eta squared (η²).</w:t>
      </w:r>
    </w:p>
    <w:p w14:paraId="71122237" w14:textId="77777777" w:rsidR="008B4430" w:rsidRDefault="008E3E9D" w:rsidP="00BF1DE3">
      <w:pPr>
        <w:pStyle w:val="Heading2"/>
      </w:pPr>
      <w:r>
        <w:t>Online Resource 13</w:t>
      </w:r>
    </w:p>
    <w:p w14:paraId="71122238" w14:textId="77777777" w:rsidR="008B4430" w:rsidRDefault="008E3E9D">
      <w:r>
        <w:rPr>
          <w:b/>
        </w:rPr>
        <w:t>Daily mean air temperature at trial sites.</w:t>
      </w:r>
      <w:r>
        <w:t xml:space="preserve"> </w:t>
      </w:r>
      <w:proofErr w:type="spellStart"/>
      <w:r>
        <w:t>Mibhor</w:t>
      </w:r>
      <w:proofErr w:type="spellEnd"/>
      <w:r>
        <w:t xml:space="preserve"> was plotted against </w:t>
      </w:r>
      <w:proofErr w:type="spellStart"/>
      <w:r>
        <w:t>Yotveta</w:t>
      </w:r>
      <w:proofErr w:type="spellEnd"/>
      <w:r>
        <w:t xml:space="preserve"> during the trial period (December 2023 - May 2024). Each point represents one trial day (n = 155), with color coding representing chronological proximity to sowing (green) or harvesting (yellow). The dashed diagonal line indicates the 1:1 relationship.</w:t>
      </w:r>
    </w:p>
    <w:p w14:paraId="70023A8A" w14:textId="3E736EE8" w:rsidR="00A13C20" w:rsidRDefault="00A13C20" w:rsidP="00BF1DE3">
      <w:pPr>
        <w:pStyle w:val="Heading2"/>
      </w:pPr>
      <w:r>
        <w:t>Online Resource 14</w:t>
      </w:r>
    </w:p>
    <w:p w14:paraId="2DB867C7" w14:textId="38F384E3" w:rsidR="00A13C20" w:rsidRPr="00A13C20" w:rsidRDefault="00A13C20" w:rsidP="00A13C20">
      <w:r w:rsidRPr="00A13C20">
        <w:rPr>
          <w:b/>
          <w:bCs/>
        </w:rPr>
        <w:t>Juxtaposition of 10 grains from parents used for the Magal Reciprocal Validation Panel (MRVP).</w:t>
      </w:r>
      <w:r>
        <w:t xml:space="preserve"> </w:t>
      </w:r>
      <w:r w:rsidRPr="00A13C20">
        <w:rPr>
          <w:bCs/>
        </w:rPr>
        <w:t>Scale bar equals 1 cm.</w:t>
      </w:r>
    </w:p>
    <w:p w14:paraId="71122239" w14:textId="77777777" w:rsidR="008B4430" w:rsidRDefault="008E3E9D" w:rsidP="00BF1DE3">
      <w:pPr>
        <w:pStyle w:val="Heading2"/>
      </w:pPr>
      <w:r>
        <w:t>Online Resource 15</w:t>
      </w:r>
    </w:p>
    <w:p w14:paraId="7112223A" w14:textId="77777777" w:rsidR="008B4430" w:rsidRDefault="008E3E9D">
      <w:r>
        <w:rPr>
          <w:b/>
        </w:rPr>
        <w:t>Summary statistics for the MRVP population and founder lines.</w:t>
      </w:r>
    </w:p>
    <w:p w14:paraId="7112223B" w14:textId="77777777" w:rsidR="008B4430" w:rsidRDefault="008E3E9D" w:rsidP="00BF1DE3">
      <w:pPr>
        <w:pStyle w:val="Heading2"/>
      </w:pPr>
      <w:r>
        <w:t>Online Resource 16</w:t>
      </w:r>
    </w:p>
    <w:p w14:paraId="7112223C" w14:textId="77777777" w:rsidR="008B4430" w:rsidRDefault="008E3E9D">
      <w:r>
        <w:rPr>
          <w:b/>
        </w:rPr>
        <w:t>Pairwise correlation matrix for grain traits in the CMPPV population.</w:t>
      </w:r>
    </w:p>
    <w:p w14:paraId="7112223D" w14:textId="77777777" w:rsidR="008B4430" w:rsidRDefault="008E3E9D" w:rsidP="00BF1DE3">
      <w:pPr>
        <w:pStyle w:val="Heading2"/>
      </w:pPr>
      <w:r>
        <w:t>Online Resource 17</w:t>
      </w:r>
    </w:p>
    <w:p w14:paraId="7112223E" w14:textId="77777777" w:rsidR="008B4430" w:rsidRDefault="008E3E9D">
      <w:r>
        <w:rPr>
          <w:b/>
        </w:rPr>
        <w:t>Site-level summary statistics for grain traits in the CMPPV.</w:t>
      </w:r>
      <w:r>
        <w:t xml:space="preserve"> SD, Standard Deviation; CV, Coefficient of Variation.</w:t>
      </w:r>
    </w:p>
    <w:sectPr w:rsidR="008B4430" w:rsidSect="00747CCE"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5FD"/>
    <w:multiLevelType w:val="multilevel"/>
    <w:tmpl w:val="88F45F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516464">
    <w:abstractNumId w:val="1"/>
  </w:num>
  <w:num w:numId="2" w16cid:durableId="305941812">
    <w:abstractNumId w:val="2"/>
  </w:num>
  <w:num w:numId="3" w16cid:durableId="590436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0"/>
    <w:rsid w:val="000341A8"/>
    <w:rsid w:val="0014354F"/>
    <w:rsid w:val="001B59A6"/>
    <w:rsid w:val="002D3AB4"/>
    <w:rsid w:val="00300324"/>
    <w:rsid w:val="003A5B81"/>
    <w:rsid w:val="003F5C4E"/>
    <w:rsid w:val="00426AA9"/>
    <w:rsid w:val="00457B6E"/>
    <w:rsid w:val="00811911"/>
    <w:rsid w:val="00835388"/>
    <w:rsid w:val="00877161"/>
    <w:rsid w:val="00892451"/>
    <w:rsid w:val="008B4430"/>
    <w:rsid w:val="008E3E9D"/>
    <w:rsid w:val="00922E33"/>
    <w:rsid w:val="00976AAB"/>
    <w:rsid w:val="00A13C20"/>
    <w:rsid w:val="00BD46B3"/>
    <w:rsid w:val="00BF1DE3"/>
    <w:rsid w:val="00C04F99"/>
    <w:rsid w:val="00C25477"/>
    <w:rsid w:val="00CC0365"/>
    <w:rsid w:val="00CD20C7"/>
    <w:rsid w:val="00DC7361"/>
    <w:rsid w:val="00E07BBF"/>
    <w:rsid w:val="00E12449"/>
    <w:rsid w:val="00E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22221"/>
  <w15:docId w15:val="{DD80C288-22C0-47B4-9A2C-F3387448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AA9"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26AA9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A9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6AA9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6AA9"/>
    <w:pPr>
      <w:keepNext/>
      <w:keepLines/>
      <w:spacing w:before="120" w:after="12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6AA9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6AA9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6AA9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6AA9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6AA9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1">
    <w:name w:val="Strong1"/>
    <w:basedOn w:val="DefaultParagraphFont"/>
    <w:uiPriority w:val="1"/>
    <w:rsid w:val="007B3E96"/>
    <w:rPr>
      <w:b/>
    </w:rPr>
  </w:style>
  <w:style w:type="paragraph" w:customStyle="1" w:styleId="centered">
    <w:name w:val="centered"/>
    <w:basedOn w:val="Normal"/>
    <w:rsid w:val="001D75AB"/>
    <w:pPr>
      <w:jc w:val="center"/>
    </w:pPr>
  </w:style>
  <w:style w:type="table" w:customStyle="1" w:styleId="tabletemplate">
    <w:name w:val="table_template"/>
    <w:basedOn w:val="Table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ghtList-Accent2">
    <w:name w:val="Light List Accent 2"/>
    <w:basedOn w:val="Table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426AA9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6AA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6AA9"/>
    <w:rPr>
      <w:rFonts w:asciiTheme="majorHAnsi" w:eastAsiaTheme="majorEastAsia" w:hAnsiTheme="majorHAnsi" w:cstheme="majorBidi"/>
      <w:spacing w:val="4"/>
      <w:sz w:val="24"/>
      <w:szCs w:val="24"/>
    </w:rPr>
  </w:style>
  <w:style w:type="paragraph" w:customStyle="1" w:styleId="ImageCaption">
    <w:name w:val="Image Caption"/>
    <w:basedOn w:val="Normal"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rsid w:val="00AE18EF"/>
  </w:style>
  <w:style w:type="table" w:styleId="TableProfessional">
    <w:name w:val="Table Professional"/>
    <w:basedOn w:val="Table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DefaultParagraphFon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  <w:style w:type="character" w:customStyle="1" w:styleId="Heading4Char">
    <w:name w:val="Heading 4 Char"/>
    <w:basedOn w:val="DefaultParagraphFont"/>
    <w:link w:val="Heading4"/>
    <w:uiPriority w:val="9"/>
    <w:semiHidden/>
    <w:rsid w:val="00426AA9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6AA9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6AA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6AA9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6AA9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6AA9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426AA9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26AA9"/>
    <w:pPr>
      <w:spacing w:after="0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26AA9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6AA9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26AA9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426AA9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426AA9"/>
    <w:rPr>
      <w:i/>
      <w:iCs/>
      <w:color w:val="auto"/>
    </w:rPr>
  </w:style>
  <w:style w:type="paragraph" w:styleId="NoSpacing">
    <w:name w:val="No Spacing"/>
    <w:uiPriority w:val="1"/>
    <w:qFormat/>
    <w:rsid w:val="00426AA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26AA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26AA9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26AA9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6AA9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6AA9"/>
    <w:rPr>
      <w:rFonts w:asciiTheme="majorHAnsi" w:eastAsiaTheme="majorEastAsia" w:hAnsiTheme="majorHAnsi" w:cstheme="majorBidi"/>
      <w:sz w:val="26"/>
      <w:szCs w:val="26"/>
    </w:rPr>
  </w:style>
  <w:style w:type="character" w:styleId="SubtleEmphasis">
    <w:name w:val="Subtle Emphasis"/>
    <w:basedOn w:val="DefaultParagraphFont"/>
    <w:uiPriority w:val="19"/>
    <w:qFormat/>
    <w:rsid w:val="00426AA9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426AA9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26AA9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26AA9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426AA9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6AA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Schewach Bodenheimer</cp:lastModifiedBy>
  <cp:revision>31</cp:revision>
  <dcterms:created xsi:type="dcterms:W3CDTF">2017-02-28T11:18:00Z</dcterms:created>
  <dcterms:modified xsi:type="dcterms:W3CDTF">2026-02-25T13:58:00Z</dcterms:modified>
  <cp:category/>
</cp:coreProperties>
</file>